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2A3" w:rsidRDefault="001252A3" w:rsidP="00033E6F">
      <w:pPr>
        <w:spacing w:line="400" w:lineRule="exact"/>
        <w:jc w:val="center"/>
        <w:rPr>
          <w:rFonts w:ascii="STKaiti" w:eastAsia="Times New Roman" w:hAnsi="STKaiti"/>
          <w:b/>
          <w:sz w:val="32"/>
        </w:rPr>
      </w:pPr>
      <w:bookmarkStart w:id="0" w:name="_GoBack"/>
      <w:bookmarkEnd w:id="0"/>
      <w:r>
        <w:rPr>
          <w:rFonts w:ascii="宋体" w:eastAsia="宋体" w:hAnsi="宋体" w:cs="宋体" w:hint="eastAsia"/>
          <w:b/>
          <w:sz w:val="32"/>
        </w:rPr>
        <w:t>双目视力筛选仪技术</w:t>
      </w:r>
      <w:r w:rsidRPr="00FC234A">
        <w:rPr>
          <w:rFonts w:ascii="宋体" w:eastAsia="宋体" w:hAnsi="宋体" w:cs="宋体" w:hint="eastAsia"/>
          <w:b/>
          <w:sz w:val="32"/>
        </w:rPr>
        <w:t>参数</w:t>
      </w:r>
    </w:p>
    <w:p w:rsidR="001252A3" w:rsidRPr="00FC234A" w:rsidRDefault="001252A3" w:rsidP="00033E6F">
      <w:pPr>
        <w:spacing w:line="400" w:lineRule="exact"/>
        <w:jc w:val="center"/>
        <w:rPr>
          <w:rFonts w:ascii="STKaiti" w:eastAsia="Times New Roman" w:hAnsi="STKaiti"/>
          <w:b/>
          <w:sz w:val="32"/>
        </w:rPr>
      </w:pPr>
    </w:p>
    <w:p w:rsidR="001252A3" w:rsidRDefault="001252A3" w:rsidP="00033E6F">
      <w:pPr>
        <w:pStyle w:val="ListParagraph"/>
        <w:numPr>
          <w:ilvl w:val="0"/>
          <w:numId w:val="1"/>
        </w:numPr>
        <w:spacing w:line="400" w:lineRule="exact"/>
        <w:ind w:firstLineChars="0"/>
        <w:rPr>
          <w:rFonts w:ascii="STKaiti" w:eastAsia="Times New Roman" w:hAnsi="STKaiti"/>
        </w:rPr>
      </w:pPr>
      <w:r>
        <w:rPr>
          <w:rFonts w:ascii="STKaiti" w:eastAsia="Times New Roman" w:hAnsi="STKaiti"/>
        </w:rPr>
        <w:t>5.0</w:t>
      </w:r>
      <w:r>
        <w:rPr>
          <w:rFonts w:ascii="宋体" w:eastAsia="宋体" w:hAnsi="宋体" w:cs="宋体" w:hint="eastAsia"/>
        </w:rPr>
        <w:t>英寸彩色触摸操作</w:t>
      </w:r>
      <w:r>
        <w:rPr>
          <w:rFonts w:ascii="STKaiti" w:eastAsia="Times New Roman" w:hAnsi="STKaiti"/>
        </w:rPr>
        <w:t>LCD</w:t>
      </w:r>
      <w:r>
        <w:rPr>
          <w:rFonts w:ascii="宋体" w:eastAsia="宋体" w:hAnsi="宋体" w:cs="宋体" w:hint="eastAsia"/>
        </w:rPr>
        <w:t>显示屏幕</w:t>
      </w:r>
    </w:p>
    <w:p w:rsidR="001252A3" w:rsidRDefault="001252A3" w:rsidP="00033E6F">
      <w:pPr>
        <w:pStyle w:val="ListParagraph"/>
        <w:numPr>
          <w:ilvl w:val="0"/>
          <w:numId w:val="1"/>
        </w:numPr>
        <w:spacing w:line="400" w:lineRule="exact"/>
        <w:ind w:firstLineChars="0"/>
        <w:rPr>
          <w:rFonts w:ascii="STKaiti" w:eastAsia="Times New Roman" w:hAnsi="STKaiti"/>
        </w:rPr>
      </w:pPr>
      <w:r>
        <w:rPr>
          <w:rFonts w:ascii="宋体" w:eastAsia="宋体" w:hAnsi="宋体" w:cs="宋体" w:hint="eastAsia"/>
        </w:rPr>
        <w:t>显示屏幕分辨率：</w:t>
      </w:r>
      <w:r>
        <w:rPr>
          <w:rFonts w:ascii="STKaiti" w:eastAsia="Times New Roman" w:hAnsi="STKaiti"/>
        </w:rPr>
        <w:t>800</w:t>
      </w:r>
      <w:r w:rsidRPr="00B3784B">
        <w:rPr>
          <w:rFonts w:ascii="STKaiti" w:eastAsia="Times New Roman" w:hAnsi="STKaiti"/>
        </w:rPr>
        <w:t>×</w:t>
      </w:r>
      <w:r>
        <w:rPr>
          <w:rFonts w:ascii="STKaiti" w:eastAsia="Times New Roman" w:hAnsi="STKaiti"/>
        </w:rPr>
        <w:t xml:space="preserve"> 480 </w:t>
      </w:r>
      <w:r>
        <w:rPr>
          <w:rFonts w:ascii="宋体" w:eastAsia="宋体" w:hAnsi="宋体" w:cs="宋体" w:hint="eastAsia"/>
        </w:rPr>
        <w:t>像素</w:t>
      </w:r>
    </w:p>
    <w:p w:rsidR="001252A3" w:rsidRPr="00FC234A" w:rsidRDefault="001252A3" w:rsidP="00033E6F">
      <w:pPr>
        <w:pStyle w:val="ListParagraph"/>
        <w:numPr>
          <w:ilvl w:val="0"/>
          <w:numId w:val="1"/>
        </w:numPr>
        <w:spacing w:line="400" w:lineRule="exact"/>
        <w:ind w:firstLineChars="0"/>
        <w:rPr>
          <w:rFonts w:ascii="STKaiti" w:eastAsia="Times New Roman" w:hAnsi="STKaiti"/>
        </w:rPr>
      </w:pPr>
      <w:r w:rsidRPr="00FC234A">
        <w:rPr>
          <w:rFonts w:ascii="STKaiti" w:eastAsia="Times New Roman" w:hAnsi="STKaiti"/>
        </w:rPr>
        <w:t>45°</w:t>
      </w:r>
      <w:r w:rsidRPr="00FC234A">
        <w:rPr>
          <w:rFonts w:ascii="宋体" w:eastAsia="宋体" w:hAnsi="宋体" w:cs="宋体" w:hint="eastAsia"/>
        </w:rPr>
        <w:t>前倾屏幕，方便使用者以任何姿势操作。</w:t>
      </w:r>
    </w:p>
    <w:p w:rsidR="001252A3" w:rsidRPr="00FC234A" w:rsidRDefault="001252A3" w:rsidP="00033E6F">
      <w:pPr>
        <w:pStyle w:val="ListParagraph"/>
        <w:numPr>
          <w:ilvl w:val="0"/>
          <w:numId w:val="1"/>
        </w:numPr>
        <w:spacing w:line="400" w:lineRule="exact"/>
        <w:ind w:firstLineChars="0"/>
        <w:rPr>
          <w:rFonts w:ascii="STKaiti" w:eastAsia="Times New Roman" w:hAnsi="STKaiti"/>
        </w:rPr>
      </w:pPr>
      <w:r>
        <w:rPr>
          <w:rFonts w:ascii="宋体" w:eastAsia="宋体" w:hAnsi="宋体" w:cs="宋体" w:hint="eastAsia"/>
          <w:color w:val="000000"/>
          <w:sz w:val="18"/>
          <w:szCs w:val="18"/>
        </w:rPr>
        <w:t>★</w:t>
      </w:r>
      <w:r>
        <w:rPr>
          <w:rFonts w:ascii="宋体" w:eastAsia="宋体" w:hAnsi="宋体" w:cs="宋体" w:hint="eastAsia"/>
        </w:rPr>
        <w:t>产品名称：视力筛选仪或者视力筛查仪而非屈光筛查仪；</w:t>
      </w:r>
      <w:r w:rsidRPr="00FC234A">
        <w:rPr>
          <w:rFonts w:ascii="宋体" w:eastAsia="宋体" w:hAnsi="宋体" w:cs="宋体" w:hint="eastAsia"/>
        </w:rPr>
        <w:t>筛查内容：屈光筛查（近视、远视、散光、屈光参差）、眼位变化、瞳孔大小及间距、矫正视力。</w:t>
      </w:r>
      <w:r>
        <w:rPr>
          <w:rFonts w:ascii="宋体" w:eastAsia="宋体" w:hAnsi="宋体" w:cs="宋体" w:hint="eastAsia"/>
        </w:rPr>
        <w:t>对弱视风险进行筛查评估的仪器。</w:t>
      </w:r>
      <w:r>
        <w:rPr>
          <w:rFonts w:ascii="STKaiti" w:eastAsia="Times New Roman" w:hAnsi="STKaiti"/>
        </w:rPr>
        <w:t>(</w:t>
      </w:r>
      <w:r>
        <w:rPr>
          <w:rFonts w:ascii="宋体" w:eastAsia="宋体" w:hAnsi="宋体" w:cs="宋体" w:hint="eastAsia"/>
        </w:rPr>
        <w:t>注册证证明</w:t>
      </w:r>
      <w:r>
        <w:rPr>
          <w:rFonts w:ascii="STKaiti" w:eastAsia="Times New Roman" w:hAnsi="STKaiti"/>
        </w:rPr>
        <w:t>)</w:t>
      </w:r>
    </w:p>
    <w:p w:rsidR="001252A3" w:rsidRPr="00FC234A" w:rsidRDefault="001252A3" w:rsidP="00033E6F">
      <w:pPr>
        <w:pStyle w:val="ListParagraph"/>
        <w:numPr>
          <w:ilvl w:val="0"/>
          <w:numId w:val="1"/>
        </w:numPr>
        <w:spacing w:line="400" w:lineRule="exact"/>
        <w:ind w:firstLineChars="0"/>
        <w:rPr>
          <w:rFonts w:ascii="STKaiti" w:eastAsia="Times New Roman" w:hAnsi="STKaiti"/>
        </w:rPr>
      </w:pPr>
      <w:r w:rsidRPr="00FC234A">
        <w:rPr>
          <w:rFonts w:ascii="宋体" w:eastAsia="宋体" w:hAnsi="宋体" w:cs="宋体" w:hint="eastAsia"/>
        </w:rPr>
        <w:t>可直接在主机上输入中文病人信息。</w:t>
      </w:r>
    </w:p>
    <w:p w:rsidR="001252A3" w:rsidRPr="00FC234A" w:rsidRDefault="001252A3" w:rsidP="00033E6F">
      <w:pPr>
        <w:pStyle w:val="ListParagraph"/>
        <w:numPr>
          <w:ilvl w:val="0"/>
          <w:numId w:val="1"/>
        </w:numPr>
        <w:spacing w:line="400" w:lineRule="exact"/>
        <w:ind w:firstLineChars="0"/>
        <w:rPr>
          <w:rFonts w:ascii="STKaiti" w:eastAsia="Times New Roman" w:hAnsi="STKaiti"/>
        </w:rPr>
      </w:pPr>
      <w:r>
        <w:rPr>
          <w:rFonts w:ascii="宋体" w:eastAsia="宋体" w:hAnsi="宋体" w:cs="宋体" w:hint="eastAsia"/>
        </w:rPr>
        <w:t>双眼同时进行测量。</w:t>
      </w:r>
    </w:p>
    <w:p w:rsidR="001252A3" w:rsidRPr="00FC234A" w:rsidRDefault="001252A3" w:rsidP="00033E6F">
      <w:pPr>
        <w:pStyle w:val="ListParagraph"/>
        <w:numPr>
          <w:ilvl w:val="0"/>
          <w:numId w:val="1"/>
        </w:numPr>
        <w:spacing w:line="400" w:lineRule="exact"/>
        <w:ind w:firstLineChars="0"/>
        <w:rPr>
          <w:rFonts w:ascii="STKaiti" w:eastAsia="Times New Roman" w:hAnsi="STKaiti"/>
        </w:rPr>
      </w:pPr>
      <w:r w:rsidRPr="00FC234A">
        <w:rPr>
          <w:rFonts w:ascii="宋体" w:eastAsia="宋体" w:hAnsi="宋体" w:cs="宋体" w:hint="eastAsia"/>
        </w:rPr>
        <w:t>可对单眼进行测量。</w:t>
      </w:r>
    </w:p>
    <w:p w:rsidR="001252A3" w:rsidRDefault="001252A3" w:rsidP="00033E6F">
      <w:pPr>
        <w:pStyle w:val="ListParagraph"/>
        <w:numPr>
          <w:ilvl w:val="0"/>
          <w:numId w:val="1"/>
        </w:numPr>
        <w:spacing w:line="400" w:lineRule="exact"/>
        <w:ind w:firstLineChars="0"/>
        <w:rPr>
          <w:rFonts w:ascii="STKaiti" w:eastAsia="Times New Roman" w:hAnsi="STKaiti"/>
        </w:rPr>
      </w:pPr>
      <w:r w:rsidRPr="00FC234A">
        <w:rPr>
          <w:rFonts w:ascii="宋体" w:eastAsia="宋体" w:hAnsi="宋体" w:cs="宋体" w:hint="eastAsia"/>
        </w:rPr>
        <w:t>等效球镜度数测量范围：</w:t>
      </w:r>
      <w:r w:rsidRPr="00FC234A">
        <w:rPr>
          <w:rFonts w:ascii="STKaiti" w:eastAsia="Times New Roman" w:hAnsi="STKaiti"/>
        </w:rPr>
        <w:t>-7.50D</w:t>
      </w:r>
      <w:r w:rsidRPr="00FC234A">
        <w:rPr>
          <w:rFonts w:ascii="宋体" w:eastAsia="宋体" w:hAnsi="宋体" w:cs="宋体" w:hint="eastAsia"/>
        </w:rPr>
        <w:t>至</w:t>
      </w:r>
      <w:r w:rsidRPr="00FC234A">
        <w:rPr>
          <w:rFonts w:ascii="STKaiti" w:eastAsia="Times New Roman" w:hAnsi="STKaiti"/>
        </w:rPr>
        <w:t>+7.50D</w:t>
      </w:r>
      <w:r>
        <w:rPr>
          <w:rFonts w:ascii="宋体" w:eastAsia="宋体" w:hAnsi="宋体" w:cs="宋体" w:hint="eastAsia"/>
        </w:rPr>
        <w:t>，</w:t>
      </w:r>
      <w:r>
        <w:rPr>
          <w:rFonts w:ascii="STKaiti" w:eastAsia="Times New Roman" w:hAnsi="STKaiti"/>
        </w:rPr>
        <w:t>0.25D</w:t>
      </w:r>
      <w:r>
        <w:rPr>
          <w:rFonts w:ascii="宋体" w:eastAsia="宋体" w:hAnsi="宋体" w:cs="宋体" w:hint="eastAsia"/>
        </w:rPr>
        <w:t>递增，精确度：</w:t>
      </w:r>
      <w:r>
        <w:rPr>
          <w:rFonts w:ascii="STKaiti" w:eastAsia="Times New Roman" w:hAnsi="STKaiti"/>
        </w:rPr>
        <w:t>-3.50D</w:t>
      </w:r>
      <w:r>
        <w:rPr>
          <w:rFonts w:ascii="宋体" w:eastAsia="宋体" w:hAnsi="宋体" w:cs="宋体" w:hint="eastAsia"/>
        </w:rPr>
        <w:t>到</w:t>
      </w:r>
      <w:r>
        <w:rPr>
          <w:rFonts w:ascii="STKaiti" w:eastAsia="Times New Roman" w:hAnsi="STKaiti"/>
        </w:rPr>
        <w:t>3.50D ±0.50D</w:t>
      </w:r>
      <w:r>
        <w:rPr>
          <w:rFonts w:ascii="宋体" w:eastAsia="宋体" w:hAnsi="宋体" w:cs="宋体" w:hint="eastAsia"/>
        </w:rPr>
        <w:t>；</w:t>
      </w:r>
      <w:r>
        <w:rPr>
          <w:rFonts w:ascii="STKaiti" w:eastAsia="Times New Roman" w:hAnsi="STKaiti"/>
        </w:rPr>
        <w:t>-7.50D</w:t>
      </w:r>
      <w:r>
        <w:rPr>
          <w:rFonts w:ascii="宋体" w:eastAsia="宋体" w:hAnsi="宋体" w:cs="宋体" w:hint="eastAsia"/>
        </w:rPr>
        <w:t>到＜</w:t>
      </w:r>
      <w:r>
        <w:rPr>
          <w:rFonts w:ascii="STKaiti" w:eastAsia="Times New Roman" w:hAnsi="STKaiti"/>
        </w:rPr>
        <w:t>-3.50D ±1.00D</w:t>
      </w:r>
      <w:r>
        <w:rPr>
          <w:rFonts w:ascii="宋体" w:eastAsia="宋体" w:hAnsi="宋体" w:cs="宋体" w:hint="eastAsia"/>
        </w:rPr>
        <w:t>；＞</w:t>
      </w:r>
      <w:r>
        <w:rPr>
          <w:rFonts w:ascii="STKaiti" w:eastAsia="Times New Roman" w:hAnsi="STKaiti"/>
        </w:rPr>
        <w:t>3.50D</w:t>
      </w:r>
      <w:r>
        <w:rPr>
          <w:rFonts w:ascii="宋体" w:eastAsia="宋体" w:hAnsi="宋体" w:cs="宋体" w:hint="eastAsia"/>
        </w:rPr>
        <w:t>到</w:t>
      </w:r>
      <w:r>
        <w:rPr>
          <w:rFonts w:ascii="STKaiti" w:eastAsia="Times New Roman" w:hAnsi="STKaiti"/>
        </w:rPr>
        <w:t>7.50D ±1.00D</w:t>
      </w:r>
    </w:p>
    <w:p w:rsidR="001252A3" w:rsidRPr="00067530" w:rsidRDefault="001252A3" w:rsidP="00BB61B2">
      <w:pPr>
        <w:pStyle w:val="ListParagraph"/>
        <w:numPr>
          <w:ilvl w:val="0"/>
          <w:numId w:val="1"/>
        </w:numPr>
        <w:spacing w:line="400" w:lineRule="exact"/>
        <w:ind w:firstLineChars="0"/>
        <w:rPr>
          <w:rFonts w:ascii="STKaiti" w:eastAsia="Times New Roman" w:hAnsi="STKaiti"/>
        </w:rPr>
      </w:pPr>
      <w:r w:rsidRPr="00067530">
        <w:rPr>
          <w:rFonts w:ascii="宋体" w:eastAsia="宋体" w:hAnsi="宋体" w:cs="宋体" w:hint="eastAsia"/>
        </w:rPr>
        <w:t>柱镜度数测量范围：</w:t>
      </w:r>
      <w:r w:rsidRPr="00067530">
        <w:rPr>
          <w:rFonts w:ascii="STKaiti" w:eastAsia="Times New Roman" w:hAnsi="STKaiti"/>
        </w:rPr>
        <w:t>-3.00D</w:t>
      </w:r>
      <w:r w:rsidRPr="00067530">
        <w:rPr>
          <w:rFonts w:ascii="宋体" w:eastAsia="宋体" w:hAnsi="宋体" w:cs="宋体" w:hint="eastAsia"/>
        </w:rPr>
        <w:t>到</w:t>
      </w:r>
      <w:r w:rsidRPr="00067530">
        <w:rPr>
          <w:rFonts w:ascii="STKaiti" w:eastAsia="Times New Roman" w:hAnsi="STKaiti"/>
        </w:rPr>
        <w:t>+3.00D</w:t>
      </w:r>
      <w:r w:rsidRPr="00067530">
        <w:rPr>
          <w:rFonts w:ascii="宋体" w:eastAsia="宋体" w:hAnsi="宋体" w:cs="宋体" w:hint="eastAsia"/>
        </w:rPr>
        <w:t>，</w:t>
      </w:r>
      <w:r w:rsidRPr="00067530">
        <w:rPr>
          <w:rFonts w:ascii="STKaiti" w:eastAsia="Times New Roman" w:hAnsi="STKaiti"/>
        </w:rPr>
        <w:t>0.25D</w:t>
      </w:r>
      <w:r w:rsidRPr="00067530">
        <w:rPr>
          <w:rFonts w:ascii="宋体" w:eastAsia="宋体" w:hAnsi="宋体" w:cs="宋体" w:hint="eastAsia"/>
        </w:rPr>
        <w:t>递增，精确度：</w:t>
      </w:r>
      <w:r w:rsidRPr="00067530">
        <w:rPr>
          <w:rFonts w:ascii="STKaiti" w:eastAsia="Times New Roman" w:hAnsi="STKaiti"/>
        </w:rPr>
        <w:t>-1.50D</w:t>
      </w:r>
      <w:r w:rsidRPr="00067530">
        <w:rPr>
          <w:rFonts w:ascii="宋体" w:eastAsia="宋体" w:hAnsi="宋体" w:cs="宋体" w:hint="eastAsia"/>
        </w:rPr>
        <w:t>到</w:t>
      </w:r>
      <w:r w:rsidRPr="00067530">
        <w:rPr>
          <w:rFonts w:ascii="STKaiti" w:eastAsia="Times New Roman" w:hAnsi="STKaiti"/>
        </w:rPr>
        <w:t>1.50D ±0.50D</w:t>
      </w:r>
      <w:r w:rsidRPr="00067530">
        <w:rPr>
          <w:rFonts w:ascii="宋体" w:eastAsia="宋体" w:hAnsi="宋体" w:cs="宋体" w:hint="eastAsia"/>
        </w:rPr>
        <w:t>；</w:t>
      </w:r>
      <w:r w:rsidRPr="00067530">
        <w:rPr>
          <w:rFonts w:ascii="STKaiti" w:eastAsia="Times New Roman" w:hAnsi="STKaiti"/>
        </w:rPr>
        <w:t>-3.00D</w:t>
      </w:r>
      <w:r w:rsidRPr="00067530">
        <w:rPr>
          <w:rFonts w:ascii="宋体" w:eastAsia="宋体" w:hAnsi="宋体" w:cs="宋体" w:hint="eastAsia"/>
        </w:rPr>
        <w:t>到</w:t>
      </w:r>
      <w:r w:rsidRPr="00067530">
        <w:rPr>
          <w:rFonts w:ascii="STKaiti" w:eastAsia="Times New Roman" w:hAnsi="STKaiti"/>
        </w:rPr>
        <w:t xml:space="preserve">&lt;-1.50D ±1.00D </w:t>
      </w:r>
      <w:r w:rsidRPr="00067530">
        <w:rPr>
          <w:rFonts w:ascii="宋体" w:eastAsia="宋体" w:hAnsi="宋体" w:cs="宋体" w:hint="eastAsia"/>
        </w:rPr>
        <w:t>＞</w:t>
      </w:r>
      <w:r w:rsidRPr="00067530">
        <w:rPr>
          <w:rFonts w:ascii="STKaiti" w:eastAsia="Times New Roman" w:hAnsi="STKaiti"/>
        </w:rPr>
        <w:t>1.50D</w:t>
      </w:r>
      <w:r w:rsidRPr="00067530">
        <w:rPr>
          <w:rFonts w:ascii="宋体" w:eastAsia="宋体" w:hAnsi="宋体" w:cs="宋体" w:hint="eastAsia"/>
        </w:rPr>
        <w:t>到</w:t>
      </w:r>
      <w:r w:rsidRPr="00067530">
        <w:rPr>
          <w:rFonts w:ascii="STKaiti" w:eastAsia="Times New Roman" w:hAnsi="STKaiti"/>
        </w:rPr>
        <w:t>3.00D ±1.00D</w:t>
      </w:r>
    </w:p>
    <w:p w:rsidR="001252A3" w:rsidRDefault="001252A3" w:rsidP="00033E6F">
      <w:pPr>
        <w:pStyle w:val="ListParagraph"/>
        <w:numPr>
          <w:ilvl w:val="0"/>
          <w:numId w:val="1"/>
        </w:numPr>
        <w:spacing w:line="400" w:lineRule="exact"/>
        <w:ind w:firstLineChars="0"/>
        <w:rPr>
          <w:rFonts w:ascii="STKaiti" w:eastAsia="Times New Roman" w:hAnsi="STKaiti"/>
        </w:rPr>
      </w:pPr>
      <w:r>
        <w:rPr>
          <w:rFonts w:ascii="宋体" w:eastAsia="宋体" w:hAnsi="宋体" w:cs="宋体" w:hint="eastAsia"/>
        </w:rPr>
        <w:t>轴位范围：</w:t>
      </w:r>
      <w:r>
        <w:rPr>
          <w:rFonts w:ascii="STKaiti" w:eastAsia="Times New Roman" w:hAnsi="STKaiti"/>
        </w:rPr>
        <w:t>1°</w:t>
      </w:r>
      <w:r>
        <w:rPr>
          <w:rFonts w:ascii="宋体" w:eastAsia="宋体" w:hAnsi="宋体" w:cs="宋体" w:hint="eastAsia"/>
        </w:rPr>
        <w:t>到</w:t>
      </w:r>
      <w:r>
        <w:rPr>
          <w:rFonts w:ascii="STKaiti" w:eastAsia="Times New Roman" w:hAnsi="STKaiti"/>
        </w:rPr>
        <w:t>180°</w:t>
      </w:r>
      <w:r>
        <w:rPr>
          <w:rFonts w:ascii="宋体" w:eastAsia="宋体" w:hAnsi="宋体" w:cs="宋体" w:hint="eastAsia"/>
        </w:rPr>
        <w:t>，</w:t>
      </w:r>
      <w:r>
        <w:rPr>
          <w:rFonts w:ascii="STKaiti" w:eastAsia="Times New Roman" w:hAnsi="STKaiti"/>
        </w:rPr>
        <w:t>1°</w:t>
      </w:r>
      <w:r>
        <w:rPr>
          <w:rFonts w:ascii="宋体" w:eastAsia="宋体" w:hAnsi="宋体" w:cs="宋体" w:hint="eastAsia"/>
        </w:rPr>
        <w:t>递增，精确度：</w:t>
      </w:r>
      <w:r>
        <w:rPr>
          <w:rFonts w:ascii="STKaiti" w:eastAsia="Times New Roman" w:hAnsi="STKaiti"/>
        </w:rPr>
        <w:t>±10°</w:t>
      </w:r>
      <w:r>
        <w:rPr>
          <w:rFonts w:ascii="宋体" w:eastAsia="宋体" w:hAnsi="宋体" w:cs="宋体" w:hint="eastAsia"/>
        </w:rPr>
        <w:t>（对于柱面值＞</w:t>
      </w:r>
      <w:r>
        <w:rPr>
          <w:rFonts w:ascii="STKaiti" w:eastAsia="Times New Roman" w:hAnsi="STKaiti"/>
        </w:rPr>
        <w:t>0.5D</w:t>
      </w:r>
      <w:r>
        <w:rPr>
          <w:rFonts w:ascii="宋体" w:eastAsia="宋体" w:hAnsi="宋体" w:cs="宋体" w:hint="eastAsia"/>
        </w:rPr>
        <w:t>）</w:t>
      </w:r>
    </w:p>
    <w:p w:rsidR="001252A3" w:rsidRDefault="001252A3" w:rsidP="00033E6F">
      <w:pPr>
        <w:pStyle w:val="ListParagraph"/>
        <w:numPr>
          <w:ilvl w:val="0"/>
          <w:numId w:val="1"/>
        </w:numPr>
        <w:spacing w:line="400" w:lineRule="exact"/>
        <w:ind w:firstLineChars="0"/>
        <w:rPr>
          <w:rFonts w:ascii="STKaiti" w:eastAsia="Times New Roman" w:hAnsi="STKaiti"/>
        </w:rPr>
      </w:pPr>
      <w:r>
        <w:rPr>
          <w:rFonts w:ascii="宋体" w:eastAsia="宋体" w:hAnsi="宋体" w:cs="宋体" w:hint="eastAsia"/>
        </w:rPr>
        <w:t>测量瞳孔直径范围：</w:t>
      </w:r>
      <w:r w:rsidRPr="00FC234A">
        <w:rPr>
          <w:rFonts w:ascii="STKaiti" w:eastAsia="Times New Roman" w:hAnsi="STKaiti"/>
        </w:rPr>
        <w:t>4</w:t>
      </w:r>
      <w:r>
        <w:rPr>
          <w:rFonts w:ascii="STKaiti" w:eastAsia="Times New Roman" w:hAnsi="STKaiti"/>
        </w:rPr>
        <w:t>.0mm-9.0</w:t>
      </w:r>
      <w:r w:rsidRPr="00FC234A">
        <w:rPr>
          <w:rFonts w:ascii="STKaiti" w:eastAsia="Times New Roman" w:hAnsi="STKaiti"/>
        </w:rPr>
        <w:t>mm</w:t>
      </w:r>
      <w:r>
        <w:rPr>
          <w:rFonts w:ascii="宋体" w:eastAsia="宋体" w:hAnsi="宋体" w:cs="宋体" w:hint="eastAsia"/>
        </w:rPr>
        <w:t>，</w:t>
      </w:r>
      <w:r>
        <w:rPr>
          <w:rFonts w:ascii="STKaiti" w:eastAsia="Times New Roman" w:hAnsi="STKaiti"/>
        </w:rPr>
        <w:t>0.1mm</w:t>
      </w:r>
      <w:r>
        <w:rPr>
          <w:rFonts w:ascii="宋体" w:eastAsia="宋体" w:hAnsi="宋体" w:cs="宋体" w:hint="eastAsia"/>
        </w:rPr>
        <w:t>递增，精确度：</w:t>
      </w:r>
      <w:r>
        <w:rPr>
          <w:rFonts w:ascii="STKaiti" w:eastAsia="Times New Roman" w:hAnsi="STKaiti"/>
        </w:rPr>
        <w:t>±0.4mm</w:t>
      </w:r>
      <w:r>
        <w:rPr>
          <w:rFonts w:ascii="宋体" w:eastAsia="宋体" w:hAnsi="宋体" w:cs="宋体" w:hint="eastAsia"/>
        </w:rPr>
        <w:t>，可测量散瞳病人</w:t>
      </w:r>
    </w:p>
    <w:p w:rsidR="001252A3" w:rsidRPr="00FC234A" w:rsidRDefault="001252A3" w:rsidP="00033E6F">
      <w:pPr>
        <w:pStyle w:val="ListParagraph"/>
        <w:numPr>
          <w:ilvl w:val="0"/>
          <w:numId w:val="1"/>
        </w:numPr>
        <w:spacing w:line="400" w:lineRule="exact"/>
        <w:ind w:firstLineChars="0"/>
        <w:rPr>
          <w:rFonts w:ascii="STKaiti" w:eastAsia="Times New Roman" w:hAnsi="STKaiti"/>
        </w:rPr>
      </w:pPr>
      <w:r>
        <w:rPr>
          <w:rFonts w:ascii="宋体" w:eastAsia="宋体" w:hAnsi="宋体" w:cs="宋体" w:hint="eastAsia"/>
        </w:rPr>
        <w:t>测量瞳距范围：</w:t>
      </w:r>
      <w:r>
        <w:rPr>
          <w:rFonts w:ascii="STKaiti" w:eastAsia="Times New Roman" w:hAnsi="STKaiti"/>
        </w:rPr>
        <w:t>35mm</w:t>
      </w:r>
      <w:r>
        <w:rPr>
          <w:rFonts w:ascii="宋体" w:eastAsia="宋体" w:hAnsi="宋体" w:cs="宋体" w:hint="eastAsia"/>
        </w:rPr>
        <w:t>到</w:t>
      </w:r>
      <w:r>
        <w:rPr>
          <w:rFonts w:ascii="STKaiti" w:eastAsia="Times New Roman" w:hAnsi="STKaiti"/>
        </w:rPr>
        <w:t>80mm</w:t>
      </w:r>
      <w:r>
        <w:rPr>
          <w:rFonts w:ascii="宋体" w:eastAsia="宋体" w:hAnsi="宋体" w:cs="宋体" w:hint="eastAsia"/>
        </w:rPr>
        <w:t>，</w:t>
      </w:r>
      <w:r>
        <w:rPr>
          <w:rFonts w:ascii="STKaiti" w:eastAsia="Times New Roman" w:hAnsi="STKaiti"/>
        </w:rPr>
        <w:t>1mm</w:t>
      </w:r>
      <w:r>
        <w:rPr>
          <w:rFonts w:ascii="宋体" w:eastAsia="宋体" w:hAnsi="宋体" w:cs="宋体" w:hint="eastAsia"/>
        </w:rPr>
        <w:t>递增，精确度：</w:t>
      </w:r>
      <w:r>
        <w:rPr>
          <w:rFonts w:ascii="STKaiti" w:eastAsia="Times New Roman" w:hAnsi="STKaiti"/>
        </w:rPr>
        <w:t>±1.5mm</w:t>
      </w:r>
    </w:p>
    <w:p w:rsidR="001252A3" w:rsidRDefault="001252A3" w:rsidP="00033E6F">
      <w:pPr>
        <w:pStyle w:val="ListParagraph"/>
        <w:numPr>
          <w:ilvl w:val="0"/>
          <w:numId w:val="1"/>
        </w:numPr>
        <w:spacing w:line="400" w:lineRule="exact"/>
        <w:ind w:firstLineChars="0"/>
        <w:rPr>
          <w:rFonts w:ascii="STKaiti" w:eastAsia="Times New Roman" w:hAnsi="STKaiti"/>
        </w:rPr>
      </w:pPr>
      <w:r>
        <w:rPr>
          <w:rFonts w:ascii="宋体" w:eastAsia="宋体" w:hAnsi="宋体" w:cs="宋体" w:hint="eastAsia"/>
        </w:rPr>
        <w:t>斜视测量</w:t>
      </w:r>
      <w:r w:rsidRPr="00FC234A">
        <w:rPr>
          <w:rFonts w:ascii="宋体" w:eastAsia="宋体" w:hAnsi="宋体" w:cs="宋体" w:hint="eastAsia"/>
        </w:rPr>
        <w:t>：</w:t>
      </w:r>
      <w:r>
        <w:rPr>
          <w:rFonts w:ascii="宋体" w:eastAsia="宋体" w:hAnsi="宋体" w:cs="宋体" w:hint="eastAsia"/>
        </w:rPr>
        <w:t>鼻、颚方向范围</w:t>
      </w:r>
      <w:r>
        <w:rPr>
          <w:rFonts w:ascii="STKaiti" w:eastAsia="Times New Roman" w:hAnsi="STKaiti"/>
        </w:rPr>
        <w:t>0°</w:t>
      </w:r>
      <w:r>
        <w:rPr>
          <w:rFonts w:ascii="宋体" w:eastAsia="宋体" w:hAnsi="宋体" w:cs="宋体" w:hint="eastAsia"/>
        </w:rPr>
        <w:t>到</w:t>
      </w:r>
      <w:r>
        <w:rPr>
          <w:rFonts w:ascii="STKaiti" w:eastAsia="Times New Roman" w:hAnsi="STKaiti"/>
        </w:rPr>
        <w:t>20°</w:t>
      </w:r>
      <w:r>
        <w:rPr>
          <w:rFonts w:ascii="宋体" w:eastAsia="宋体" w:hAnsi="宋体" w:cs="宋体" w:hint="eastAsia"/>
        </w:rPr>
        <w:t>，精确度</w:t>
      </w:r>
      <w:r>
        <w:rPr>
          <w:rFonts w:ascii="STKaiti" w:eastAsia="Times New Roman" w:hAnsi="STKaiti"/>
        </w:rPr>
        <w:t>±1.5°</w:t>
      </w:r>
      <w:r>
        <w:rPr>
          <w:rFonts w:ascii="宋体" w:eastAsia="宋体" w:hAnsi="宋体" w:cs="宋体" w:hint="eastAsia"/>
        </w:rPr>
        <w:t>；上、下方向范围</w:t>
      </w:r>
      <w:r>
        <w:rPr>
          <w:rFonts w:ascii="STKaiti" w:eastAsia="Times New Roman" w:hAnsi="STKaiti"/>
        </w:rPr>
        <w:t>0°</w:t>
      </w:r>
      <w:r>
        <w:rPr>
          <w:rFonts w:ascii="宋体" w:eastAsia="宋体" w:hAnsi="宋体" w:cs="宋体" w:hint="eastAsia"/>
        </w:rPr>
        <w:t>到</w:t>
      </w:r>
      <w:r>
        <w:rPr>
          <w:rFonts w:ascii="STKaiti" w:eastAsia="Times New Roman" w:hAnsi="STKaiti"/>
        </w:rPr>
        <w:t>20°</w:t>
      </w:r>
      <w:r>
        <w:rPr>
          <w:rFonts w:ascii="宋体" w:eastAsia="宋体" w:hAnsi="宋体" w:cs="宋体" w:hint="eastAsia"/>
        </w:rPr>
        <w:t>，精确度</w:t>
      </w:r>
      <w:r>
        <w:rPr>
          <w:rFonts w:ascii="STKaiti" w:eastAsia="Times New Roman" w:hAnsi="STKaiti"/>
        </w:rPr>
        <w:t>±1.5°</w:t>
      </w:r>
    </w:p>
    <w:p w:rsidR="001252A3" w:rsidRPr="00FC234A" w:rsidRDefault="001252A3" w:rsidP="00033E6F">
      <w:pPr>
        <w:pStyle w:val="ListParagraph"/>
        <w:numPr>
          <w:ilvl w:val="0"/>
          <w:numId w:val="1"/>
        </w:numPr>
        <w:spacing w:line="400" w:lineRule="exact"/>
        <w:ind w:firstLineChars="0"/>
        <w:rPr>
          <w:rFonts w:ascii="STKaiti" w:eastAsia="Times New Roman" w:hAnsi="STKaiti"/>
        </w:rPr>
      </w:pPr>
      <w:r>
        <w:rPr>
          <w:rFonts w:ascii="宋体" w:eastAsia="宋体" w:hAnsi="宋体" w:cs="宋体" w:hint="eastAsia"/>
        </w:rPr>
        <w:t>平均测量时间：</w:t>
      </w:r>
      <w:r>
        <w:rPr>
          <w:rFonts w:ascii="STKaiti" w:eastAsia="Times New Roman" w:hAnsi="STKaiti"/>
        </w:rPr>
        <w:t>1S</w:t>
      </w:r>
    </w:p>
    <w:p w:rsidR="001252A3" w:rsidRDefault="001252A3" w:rsidP="00033E6F">
      <w:pPr>
        <w:pStyle w:val="ListParagraph"/>
        <w:numPr>
          <w:ilvl w:val="0"/>
          <w:numId w:val="1"/>
        </w:numPr>
        <w:spacing w:line="400" w:lineRule="exact"/>
        <w:ind w:firstLineChars="0"/>
        <w:rPr>
          <w:rFonts w:ascii="STKaiti" w:eastAsia="Times New Roman" w:hAnsi="STKaiti"/>
        </w:rPr>
      </w:pPr>
      <w:r>
        <w:rPr>
          <w:rFonts w:ascii="宋体" w:eastAsia="宋体" w:hAnsi="宋体" w:cs="宋体" w:hint="eastAsia"/>
        </w:rPr>
        <w:t>测量</w:t>
      </w:r>
      <w:r w:rsidRPr="00FC234A">
        <w:rPr>
          <w:rFonts w:ascii="宋体" w:eastAsia="宋体" w:hAnsi="宋体" w:cs="宋体" w:hint="eastAsia"/>
        </w:rPr>
        <w:t>距离：</w:t>
      </w:r>
      <w:r>
        <w:rPr>
          <w:rFonts w:ascii="STKaiti" w:eastAsia="Times New Roman" w:hAnsi="STKaiti"/>
        </w:rPr>
        <w:t>1M</w:t>
      </w:r>
    </w:p>
    <w:p w:rsidR="001252A3" w:rsidRPr="00FC234A" w:rsidRDefault="001252A3" w:rsidP="00033E6F">
      <w:pPr>
        <w:pStyle w:val="ListParagraph"/>
        <w:numPr>
          <w:ilvl w:val="0"/>
          <w:numId w:val="1"/>
        </w:numPr>
        <w:spacing w:line="400" w:lineRule="exact"/>
        <w:ind w:firstLineChars="0"/>
        <w:rPr>
          <w:rFonts w:ascii="STKaiti" w:eastAsia="Times New Roman" w:hAnsi="STKaiti"/>
        </w:rPr>
      </w:pPr>
      <w:r w:rsidRPr="00FC234A">
        <w:rPr>
          <w:rFonts w:ascii="宋体" w:eastAsia="宋体" w:hAnsi="宋体" w:cs="宋体" w:hint="eastAsia"/>
        </w:rPr>
        <w:t>距被测者距离提示：系统主动测距提示过远或过近。并以背景颜色区分是否在正确测量范围内。</w:t>
      </w:r>
    </w:p>
    <w:p w:rsidR="001252A3" w:rsidRPr="00FC234A" w:rsidRDefault="001252A3" w:rsidP="00033E6F">
      <w:pPr>
        <w:pStyle w:val="ListParagraph"/>
        <w:numPr>
          <w:ilvl w:val="0"/>
          <w:numId w:val="1"/>
        </w:numPr>
        <w:spacing w:line="400" w:lineRule="exact"/>
        <w:ind w:firstLineChars="0"/>
        <w:rPr>
          <w:rFonts w:ascii="STKaiti" w:eastAsia="Times New Roman" w:hAnsi="STKaiti"/>
        </w:rPr>
      </w:pPr>
      <w:r>
        <w:rPr>
          <w:rFonts w:ascii="宋体" w:eastAsia="宋体" w:hAnsi="宋体" w:cs="宋体" w:hint="eastAsia"/>
          <w:color w:val="000000"/>
          <w:sz w:val="18"/>
          <w:szCs w:val="18"/>
        </w:rPr>
        <w:t>★</w:t>
      </w:r>
      <w:r w:rsidRPr="00FC234A">
        <w:rPr>
          <w:rFonts w:ascii="宋体" w:eastAsia="宋体" w:hAnsi="宋体" w:cs="宋体" w:hint="eastAsia"/>
        </w:rPr>
        <w:t>敏感性</w:t>
      </w:r>
      <w:r w:rsidRPr="00FC234A">
        <w:rPr>
          <w:rFonts w:ascii="STKaiti" w:eastAsia="Times New Roman" w:hAnsi="STKaiti"/>
        </w:rPr>
        <w:t>/</w:t>
      </w:r>
      <w:r w:rsidRPr="00FC234A">
        <w:rPr>
          <w:rFonts w:ascii="宋体" w:eastAsia="宋体" w:hAnsi="宋体" w:cs="宋体" w:hint="eastAsia"/>
        </w:rPr>
        <w:t>特异性高于</w:t>
      </w:r>
      <w:r w:rsidRPr="00FC234A">
        <w:rPr>
          <w:rFonts w:ascii="STKaiti" w:eastAsia="Times New Roman" w:hAnsi="STKaiti"/>
        </w:rPr>
        <w:t>90%</w:t>
      </w:r>
      <w:r>
        <w:rPr>
          <w:rFonts w:ascii="宋体" w:eastAsia="宋体" w:hAnsi="宋体" w:cs="宋体" w:hint="eastAsia"/>
        </w:rPr>
        <w:t>（须有国外相关文献证明）</w:t>
      </w:r>
    </w:p>
    <w:p w:rsidR="001252A3" w:rsidRPr="00C76DB1" w:rsidRDefault="001252A3" w:rsidP="00033E6F">
      <w:pPr>
        <w:pStyle w:val="ListParagraph"/>
        <w:numPr>
          <w:ilvl w:val="0"/>
          <w:numId w:val="1"/>
        </w:numPr>
        <w:spacing w:line="400" w:lineRule="exact"/>
        <w:ind w:firstLineChars="0"/>
        <w:rPr>
          <w:rFonts w:ascii="STKaiti" w:eastAsia="Times New Roman" w:hAnsi="STKaiti"/>
        </w:rPr>
      </w:pPr>
      <w:r w:rsidRPr="000836D6">
        <w:rPr>
          <w:rFonts w:ascii="宋体" w:eastAsia="宋体" w:hAnsi="宋体" w:cs="宋体" w:hint="eastAsia"/>
        </w:rPr>
        <w:t>注视方式：多彩交替灯光及雨林环境音效。</w:t>
      </w:r>
    </w:p>
    <w:p w:rsidR="001252A3" w:rsidRDefault="001252A3" w:rsidP="00033E6F">
      <w:pPr>
        <w:pStyle w:val="ListParagraph"/>
        <w:numPr>
          <w:ilvl w:val="0"/>
          <w:numId w:val="1"/>
        </w:numPr>
        <w:spacing w:line="400" w:lineRule="exact"/>
        <w:ind w:firstLineChars="0"/>
        <w:rPr>
          <w:rFonts w:ascii="STKaiti" w:eastAsia="Times New Roman" w:hAnsi="STKaiti"/>
        </w:rPr>
      </w:pPr>
      <w:r>
        <w:rPr>
          <w:rFonts w:ascii="宋体" w:eastAsia="宋体" w:hAnsi="宋体" w:cs="宋体" w:hint="eastAsia"/>
        </w:rPr>
        <w:t>保护腕带，预防掉落</w:t>
      </w:r>
    </w:p>
    <w:p w:rsidR="001252A3" w:rsidRDefault="001252A3" w:rsidP="00033E6F">
      <w:pPr>
        <w:pStyle w:val="ListParagraph"/>
        <w:numPr>
          <w:ilvl w:val="0"/>
          <w:numId w:val="1"/>
        </w:numPr>
        <w:spacing w:line="400" w:lineRule="exact"/>
        <w:ind w:firstLineChars="0"/>
        <w:rPr>
          <w:rFonts w:ascii="STKaiti" w:eastAsia="Times New Roman" w:hAnsi="STKaiti"/>
        </w:rPr>
      </w:pPr>
      <w:r>
        <w:rPr>
          <w:rFonts w:ascii="宋体" w:eastAsia="宋体" w:hAnsi="宋体" w:cs="宋体" w:hint="eastAsia"/>
        </w:rPr>
        <w:t>数据接口：</w:t>
      </w:r>
      <w:r>
        <w:rPr>
          <w:rFonts w:ascii="STKaiti" w:eastAsia="Times New Roman" w:hAnsi="STKaiti"/>
        </w:rPr>
        <w:t>Wi-Fi / USB</w:t>
      </w:r>
    </w:p>
    <w:p w:rsidR="001252A3" w:rsidRDefault="001252A3" w:rsidP="00033E6F">
      <w:pPr>
        <w:pStyle w:val="ListParagraph"/>
        <w:numPr>
          <w:ilvl w:val="0"/>
          <w:numId w:val="1"/>
        </w:numPr>
        <w:spacing w:line="400" w:lineRule="exact"/>
        <w:ind w:firstLineChars="0"/>
        <w:rPr>
          <w:rFonts w:ascii="STKaiti" w:eastAsia="Times New Roman" w:hAnsi="STKaiti"/>
        </w:rPr>
      </w:pPr>
      <w:r>
        <w:rPr>
          <w:rFonts w:ascii="宋体" w:eastAsia="宋体" w:hAnsi="宋体" w:cs="宋体" w:hint="eastAsia"/>
        </w:rPr>
        <w:t>打印机接口：</w:t>
      </w:r>
      <w:r>
        <w:rPr>
          <w:rFonts w:ascii="STKaiti" w:eastAsia="Times New Roman" w:hAnsi="STKaiti"/>
        </w:rPr>
        <w:t>Wi-Fi / USB</w:t>
      </w:r>
    </w:p>
    <w:p w:rsidR="001252A3" w:rsidRPr="00FC234A" w:rsidRDefault="001252A3" w:rsidP="00033E6F">
      <w:pPr>
        <w:pStyle w:val="ListParagraph"/>
        <w:numPr>
          <w:ilvl w:val="0"/>
          <w:numId w:val="1"/>
        </w:numPr>
        <w:spacing w:line="400" w:lineRule="exact"/>
        <w:ind w:firstLineChars="0"/>
        <w:rPr>
          <w:rFonts w:ascii="STKaiti" w:eastAsia="Times New Roman" w:hAnsi="STKaiti"/>
        </w:rPr>
      </w:pPr>
      <w:r w:rsidRPr="00FC234A">
        <w:rPr>
          <w:rFonts w:ascii="宋体" w:eastAsia="宋体" w:hAnsi="宋体" w:cs="宋体" w:hint="eastAsia"/>
        </w:rPr>
        <w:t>可从电脑批量输入、输出患者信息队列，提高筛查效率。</w:t>
      </w:r>
    </w:p>
    <w:p w:rsidR="001252A3" w:rsidRDefault="001252A3" w:rsidP="00033E6F">
      <w:pPr>
        <w:pStyle w:val="ListParagraph"/>
        <w:numPr>
          <w:ilvl w:val="0"/>
          <w:numId w:val="1"/>
        </w:numPr>
        <w:spacing w:line="400" w:lineRule="exact"/>
        <w:ind w:firstLineChars="0"/>
        <w:rPr>
          <w:rFonts w:ascii="STKaiti" w:eastAsia="Times New Roman" w:hAnsi="STKaiti"/>
        </w:rPr>
      </w:pPr>
      <w:r w:rsidRPr="00FC234A">
        <w:rPr>
          <w:rFonts w:ascii="宋体" w:eastAsia="宋体" w:hAnsi="宋体" w:cs="宋体" w:hint="eastAsia"/>
        </w:rPr>
        <w:t>报告形式：便签报告或</w:t>
      </w:r>
      <w:r w:rsidRPr="00FC234A">
        <w:rPr>
          <w:rFonts w:ascii="STKaiti" w:eastAsia="Times New Roman" w:hAnsi="STKaiti"/>
        </w:rPr>
        <w:t>A4</w:t>
      </w:r>
      <w:r>
        <w:rPr>
          <w:rFonts w:ascii="宋体" w:eastAsia="宋体" w:hAnsi="宋体" w:cs="宋体" w:hint="eastAsia"/>
        </w:rPr>
        <w:t>彩色</w:t>
      </w:r>
      <w:r w:rsidRPr="00FC234A">
        <w:rPr>
          <w:rFonts w:ascii="宋体" w:eastAsia="宋体" w:hAnsi="宋体" w:cs="宋体" w:hint="eastAsia"/>
        </w:rPr>
        <w:t>图文报告（打印机需选配）</w:t>
      </w:r>
    </w:p>
    <w:p w:rsidR="001252A3" w:rsidRPr="00B3784B" w:rsidRDefault="001252A3" w:rsidP="00033E6F">
      <w:pPr>
        <w:pStyle w:val="ListParagraph"/>
        <w:numPr>
          <w:ilvl w:val="0"/>
          <w:numId w:val="1"/>
        </w:numPr>
        <w:spacing w:line="400" w:lineRule="exact"/>
        <w:ind w:firstLineChars="0"/>
        <w:rPr>
          <w:rFonts w:ascii="STKaiti" w:eastAsia="Times New Roman" w:hAnsi="STKaiti"/>
        </w:rPr>
      </w:pPr>
      <w:r>
        <w:rPr>
          <w:rFonts w:ascii="宋体" w:eastAsia="宋体" w:hAnsi="宋体" w:cs="宋体" w:hint="eastAsia"/>
        </w:rPr>
        <w:t>电池预期寿命：</w:t>
      </w:r>
      <w:r>
        <w:rPr>
          <w:rFonts w:ascii="STKaiti" w:eastAsia="Times New Roman" w:hAnsi="STKaiti"/>
        </w:rPr>
        <w:t>2.5</w:t>
      </w:r>
      <w:r>
        <w:rPr>
          <w:rFonts w:ascii="宋体" w:eastAsia="宋体" w:hAnsi="宋体" w:cs="宋体" w:hint="eastAsia"/>
        </w:rPr>
        <w:t>年</w:t>
      </w:r>
    </w:p>
    <w:p w:rsidR="001252A3" w:rsidRDefault="001252A3" w:rsidP="00033E6F">
      <w:pPr>
        <w:pStyle w:val="ListParagraph"/>
        <w:numPr>
          <w:ilvl w:val="0"/>
          <w:numId w:val="1"/>
        </w:numPr>
        <w:spacing w:line="400" w:lineRule="exact"/>
        <w:ind w:firstLineChars="0"/>
        <w:rPr>
          <w:rFonts w:ascii="STKaiti" w:eastAsia="Times New Roman" w:hAnsi="STKaiti"/>
        </w:rPr>
      </w:pPr>
      <w:r>
        <w:rPr>
          <w:rFonts w:ascii="宋体" w:eastAsia="宋体" w:hAnsi="宋体" w:cs="宋体" w:hint="eastAsia"/>
        </w:rPr>
        <w:t>产品尺寸：</w:t>
      </w:r>
      <w:r>
        <w:rPr>
          <w:rFonts w:ascii="STKaiti" w:eastAsia="Times New Roman" w:hAnsi="STKaiti"/>
        </w:rPr>
        <w:t xml:space="preserve">21.6cm </w:t>
      </w:r>
      <w:r w:rsidRPr="00B3784B">
        <w:rPr>
          <w:rFonts w:ascii="STKaiti" w:eastAsia="Times New Roman" w:hAnsi="STKaiti"/>
        </w:rPr>
        <w:t>×</w:t>
      </w:r>
      <w:r>
        <w:rPr>
          <w:rFonts w:ascii="STKaiti" w:eastAsia="Times New Roman" w:hAnsi="STKaiti"/>
        </w:rPr>
        <w:t xml:space="preserve"> 17.1cm </w:t>
      </w:r>
      <w:r w:rsidRPr="00B3784B">
        <w:rPr>
          <w:rFonts w:ascii="STKaiti" w:eastAsia="Times New Roman" w:hAnsi="STKaiti"/>
        </w:rPr>
        <w:t>×</w:t>
      </w:r>
      <w:r>
        <w:rPr>
          <w:rFonts w:ascii="STKaiti" w:eastAsia="Times New Roman" w:hAnsi="STKaiti"/>
        </w:rPr>
        <w:t xml:space="preserve"> 12.1cm</w:t>
      </w:r>
    </w:p>
    <w:p w:rsidR="001252A3" w:rsidRDefault="001252A3" w:rsidP="00033E6F">
      <w:pPr>
        <w:pStyle w:val="ListParagraph"/>
        <w:numPr>
          <w:ilvl w:val="0"/>
          <w:numId w:val="1"/>
        </w:numPr>
        <w:spacing w:line="400" w:lineRule="exact"/>
        <w:ind w:firstLineChars="0"/>
        <w:rPr>
          <w:rFonts w:ascii="STKaiti" w:eastAsia="Times New Roman" w:hAnsi="STKaiti"/>
        </w:rPr>
      </w:pPr>
      <w:r>
        <w:rPr>
          <w:rFonts w:ascii="宋体" w:eastAsia="宋体" w:hAnsi="宋体" w:cs="宋体" w:hint="eastAsia"/>
        </w:rPr>
        <w:t>设备重量</w:t>
      </w:r>
      <w:r>
        <w:rPr>
          <w:rFonts w:ascii="STKaiti" w:eastAsia="Times New Roman" w:hAnsi="STKaiti"/>
        </w:rPr>
        <w:t xml:space="preserve"> ≤ 1.15KG</w:t>
      </w:r>
    </w:p>
    <w:p w:rsidR="001252A3" w:rsidRPr="00FC234A" w:rsidRDefault="001252A3" w:rsidP="00B56133">
      <w:pPr>
        <w:pStyle w:val="ListParagraph"/>
        <w:numPr>
          <w:ilvl w:val="0"/>
          <w:numId w:val="1"/>
        </w:numPr>
        <w:spacing w:line="400" w:lineRule="exact"/>
        <w:ind w:firstLineChars="0"/>
        <w:rPr>
          <w:rFonts w:ascii="STKaiti" w:eastAsia="Times New Roman" w:hAnsi="STKaiti"/>
        </w:rPr>
      </w:pPr>
      <w:r>
        <w:rPr>
          <w:rFonts w:ascii="宋体" w:eastAsia="宋体" w:hAnsi="宋体" w:cs="宋体" w:hint="eastAsia"/>
          <w:color w:val="000000"/>
          <w:sz w:val="18"/>
          <w:szCs w:val="18"/>
        </w:rPr>
        <w:t>★</w:t>
      </w:r>
      <w:r w:rsidRPr="00FC234A">
        <w:rPr>
          <w:rFonts w:ascii="宋体" w:eastAsia="宋体" w:hAnsi="宋体" w:cs="宋体" w:hint="eastAsia"/>
        </w:rPr>
        <w:t>：</w:t>
      </w:r>
      <w:r w:rsidRPr="00FC234A">
        <w:rPr>
          <w:rFonts w:ascii="STKaiti" w:eastAsia="Times New Roman" w:hAnsi="STKaiti"/>
        </w:rPr>
        <w:t>6</w:t>
      </w:r>
      <w:r w:rsidRPr="00FC234A">
        <w:rPr>
          <w:rFonts w:ascii="宋体" w:eastAsia="宋体" w:hAnsi="宋体" w:cs="宋体" w:hint="eastAsia"/>
        </w:rPr>
        <w:t>个月</w:t>
      </w:r>
      <w:r w:rsidRPr="00FC234A">
        <w:rPr>
          <w:rFonts w:ascii="STKaiti" w:eastAsia="Times New Roman" w:hAnsi="STKaiti"/>
        </w:rPr>
        <w:t>-100</w:t>
      </w:r>
      <w:r w:rsidRPr="00FC234A">
        <w:rPr>
          <w:rFonts w:ascii="宋体" w:eastAsia="宋体" w:hAnsi="宋体" w:cs="宋体" w:hint="eastAsia"/>
        </w:rPr>
        <w:t>岁</w:t>
      </w:r>
      <w:r>
        <w:rPr>
          <w:rFonts w:ascii="STKaiti" w:eastAsia="Times New Roman" w:hAnsi="STKaiti"/>
        </w:rPr>
        <w:t>,</w:t>
      </w:r>
      <w:r>
        <w:rPr>
          <w:rFonts w:ascii="宋体" w:eastAsia="宋体" w:hAnsi="宋体" w:cs="宋体" w:hint="eastAsia"/>
        </w:rPr>
        <w:t>非只可以做幼儿及儿童人群（需要注册证描述或者原厂检测报告相关文件证明）</w:t>
      </w:r>
    </w:p>
    <w:p w:rsidR="001252A3" w:rsidRDefault="001252A3" w:rsidP="00033E6F">
      <w:pPr>
        <w:pStyle w:val="ListParagraph"/>
        <w:numPr>
          <w:ilvl w:val="0"/>
          <w:numId w:val="1"/>
        </w:numPr>
        <w:spacing w:line="400" w:lineRule="exact"/>
        <w:ind w:firstLineChars="0"/>
        <w:rPr>
          <w:rFonts w:ascii="STKaiti" w:eastAsia="Times New Roman" w:hAnsi="STKaiti"/>
        </w:rPr>
      </w:pPr>
      <w:r>
        <w:rPr>
          <w:rFonts w:ascii="宋体" w:eastAsia="宋体" w:hAnsi="宋体" w:cs="宋体" w:hint="eastAsia"/>
        </w:rPr>
        <w:t>无线网络：</w:t>
      </w:r>
      <w:r>
        <w:rPr>
          <w:rFonts w:ascii="STKaiti" w:eastAsia="Times New Roman" w:hAnsi="STKaiti"/>
        </w:rPr>
        <w:t>802.11b/g/n</w:t>
      </w:r>
    </w:p>
    <w:p w:rsidR="001252A3" w:rsidRDefault="001252A3" w:rsidP="00033E6F">
      <w:pPr>
        <w:pStyle w:val="ListParagraph"/>
        <w:numPr>
          <w:ilvl w:val="0"/>
          <w:numId w:val="1"/>
        </w:numPr>
        <w:spacing w:line="400" w:lineRule="exact"/>
        <w:ind w:firstLineChars="0"/>
        <w:rPr>
          <w:rFonts w:ascii="STKaiti" w:eastAsia="Times New Roman" w:hAnsi="STKaiti"/>
        </w:rPr>
      </w:pPr>
      <w:r>
        <w:rPr>
          <w:rFonts w:ascii="宋体" w:eastAsia="宋体" w:hAnsi="宋体" w:cs="宋体" w:hint="eastAsia"/>
        </w:rPr>
        <w:t>运行温度：</w:t>
      </w:r>
      <w:r>
        <w:rPr>
          <w:rFonts w:ascii="STKaiti" w:eastAsia="Times New Roman" w:hAnsi="STKaiti"/>
        </w:rPr>
        <w:t xml:space="preserve">+10°C </w:t>
      </w:r>
      <w:r>
        <w:rPr>
          <w:rFonts w:ascii="宋体" w:eastAsia="宋体" w:hAnsi="宋体" w:cs="宋体" w:hint="eastAsia"/>
        </w:rPr>
        <w:t>至</w:t>
      </w:r>
      <w:r>
        <w:rPr>
          <w:rFonts w:ascii="STKaiti" w:eastAsia="Times New Roman" w:hAnsi="STKaiti"/>
        </w:rPr>
        <w:t xml:space="preserve"> +40°C</w:t>
      </w:r>
    </w:p>
    <w:p w:rsidR="001252A3" w:rsidRDefault="001252A3" w:rsidP="00033E6F">
      <w:pPr>
        <w:pStyle w:val="ListParagraph"/>
        <w:numPr>
          <w:ilvl w:val="0"/>
          <w:numId w:val="1"/>
        </w:numPr>
        <w:spacing w:line="400" w:lineRule="exact"/>
        <w:ind w:firstLineChars="0"/>
        <w:rPr>
          <w:rFonts w:ascii="STKaiti" w:eastAsia="Times New Roman" w:hAnsi="STKaiti"/>
        </w:rPr>
      </w:pPr>
      <w:r>
        <w:rPr>
          <w:rFonts w:ascii="宋体" w:eastAsia="宋体" w:hAnsi="宋体" w:cs="宋体" w:hint="eastAsia"/>
        </w:rPr>
        <w:t>运行湿度：相对湿度</w:t>
      </w:r>
      <w:r>
        <w:rPr>
          <w:rFonts w:ascii="STKaiti" w:eastAsia="Times New Roman" w:hAnsi="STKaiti"/>
        </w:rPr>
        <w:t>30%</w:t>
      </w:r>
      <w:r>
        <w:rPr>
          <w:rFonts w:ascii="宋体" w:eastAsia="宋体" w:hAnsi="宋体" w:cs="宋体" w:hint="eastAsia"/>
        </w:rPr>
        <w:t>至</w:t>
      </w:r>
      <w:r>
        <w:rPr>
          <w:rFonts w:ascii="STKaiti" w:eastAsia="Times New Roman" w:hAnsi="STKaiti"/>
        </w:rPr>
        <w:t>75%</w:t>
      </w:r>
      <w:r>
        <w:rPr>
          <w:rFonts w:ascii="宋体" w:eastAsia="宋体" w:hAnsi="宋体" w:cs="宋体" w:hint="eastAsia"/>
        </w:rPr>
        <w:t>（无冷凝）</w:t>
      </w:r>
    </w:p>
    <w:p w:rsidR="001252A3" w:rsidRDefault="001252A3" w:rsidP="00033E6F">
      <w:pPr>
        <w:pStyle w:val="ListParagraph"/>
        <w:numPr>
          <w:ilvl w:val="0"/>
          <w:numId w:val="1"/>
        </w:numPr>
        <w:spacing w:line="400" w:lineRule="exact"/>
        <w:ind w:firstLineChars="0"/>
        <w:rPr>
          <w:rFonts w:ascii="STKaiti" w:eastAsia="Times New Roman" w:hAnsi="STKaiti"/>
        </w:rPr>
      </w:pPr>
      <w:r>
        <w:rPr>
          <w:rFonts w:ascii="宋体" w:eastAsia="宋体" w:hAnsi="宋体" w:cs="宋体" w:hint="eastAsia"/>
        </w:rPr>
        <w:t>存储</w:t>
      </w:r>
      <w:r>
        <w:rPr>
          <w:rFonts w:ascii="STKaiti" w:eastAsia="Times New Roman" w:hAnsi="STKaiti"/>
        </w:rPr>
        <w:t>/</w:t>
      </w:r>
      <w:r>
        <w:rPr>
          <w:rFonts w:ascii="宋体" w:eastAsia="宋体" w:hAnsi="宋体" w:cs="宋体" w:hint="eastAsia"/>
        </w:rPr>
        <w:t>运输温度：</w:t>
      </w:r>
      <w:r>
        <w:rPr>
          <w:rFonts w:ascii="STKaiti" w:eastAsia="Times New Roman" w:hAnsi="STKaiti"/>
        </w:rPr>
        <w:t xml:space="preserve">0°C </w:t>
      </w:r>
      <w:r>
        <w:rPr>
          <w:rFonts w:ascii="宋体" w:eastAsia="宋体" w:hAnsi="宋体" w:cs="宋体" w:hint="eastAsia"/>
        </w:rPr>
        <w:t>至</w:t>
      </w:r>
      <w:r>
        <w:rPr>
          <w:rFonts w:ascii="STKaiti" w:eastAsia="Times New Roman" w:hAnsi="STKaiti"/>
        </w:rPr>
        <w:t>+50°C</w:t>
      </w:r>
    </w:p>
    <w:p w:rsidR="001252A3" w:rsidRDefault="001252A3" w:rsidP="00033E6F">
      <w:pPr>
        <w:pStyle w:val="ListParagraph"/>
        <w:numPr>
          <w:ilvl w:val="0"/>
          <w:numId w:val="1"/>
        </w:numPr>
        <w:spacing w:line="400" w:lineRule="exact"/>
        <w:ind w:firstLineChars="0"/>
        <w:rPr>
          <w:rFonts w:ascii="STKaiti" w:eastAsia="Times New Roman" w:hAnsi="STKaiti"/>
        </w:rPr>
      </w:pPr>
      <w:r>
        <w:rPr>
          <w:rFonts w:ascii="宋体" w:eastAsia="宋体" w:hAnsi="宋体" w:cs="宋体" w:hint="eastAsia"/>
        </w:rPr>
        <w:t>存储</w:t>
      </w:r>
      <w:r>
        <w:rPr>
          <w:rFonts w:ascii="STKaiti" w:eastAsia="Times New Roman" w:hAnsi="STKaiti"/>
        </w:rPr>
        <w:t>/</w:t>
      </w:r>
      <w:r>
        <w:rPr>
          <w:rFonts w:ascii="宋体" w:eastAsia="宋体" w:hAnsi="宋体" w:cs="宋体" w:hint="eastAsia"/>
        </w:rPr>
        <w:t>运输湿度：相对湿度</w:t>
      </w:r>
      <w:r>
        <w:rPr>
          <w:rFonts w:ascii="STKaiti" w:eastAsia="Times New Roman" w:hAnsi="STKaiti"/>
        </w:rPr>
        <w:t>0%</w:t>
      </w:r>
      <w:r>
        <w:rPr>
          <w:rFonts w:ascii="宋体" w:eastAsia="宋体" w:hAnsi="宋体" w:cs="宋体" w:hint="eastAsia"/>
        </w:rPr>
        <w:t>至</w:t>
      </w:r>
      <w:r>
        <w:rPr>
          <w:rFonts w:ascii="STKaiti" w:eastAsia="Times New Roman" w:hAnsi="STKaiti"/>
        </w:rPr>
        <w:t>95%</w:t>
      </w:r>
      <w:r>
        <w:rPr>
          <w:rFonts w:ascii="宋体" w:eastAsia="宋体" w:hAnsi="宋体" w:cs="宋体" w:hint="eastAsia"/>
        </w:rPr>
        <w:t>（无冷凝）</w:t>
      </w:r>
    </w:p>
    <w:p w:rsidR="001252A3" w:rsidRDefault="001252A3" w:rsidP="00033E6F">
      <w:pPr>
        <w:pStyle w:val="ListParagraph"/>
        <w:numPr>
          <w:ilvl w:val="0"/>
          <w:numId w:val="1"/>
        </w:numPr>
        <w:spacing w:line="400" w:lineRule="exact"/>
        <w:ind w:firstLineChars="0"/>
        <w:rPr>
          <w:rFonts w:ascii="STKaiti" w:eastAsia="Times New Roman" w:hAnsi="STKaiti"/>
        </w:rPr>
      </w:pPr>
      <w:r>
        <w:rPr>
          <w:rFonts w:ascii="宋体" w:eastAsia="宋体" w:hAnsi="宋体" w:cs="宋体" w:hint="eastAsia"/>
        </w:rPr>
        <w:t>存储</w:t>
      </w:r>
      <w:r>
        <w:rPr>
          <w:rFonts w:ascii="STKaiti" w:eastAsia="Times New Roman" w:hAnsi="STKaiti"/>
        </w:rPr>
        <w:t>/</w:t>
      </w:r>
      <w:r>
        <w:rPr>
          <w:rFonts w:ascii="宋体" w:eastAsia="宋体" w:hAnsi="宋体" w:cs="宋体" w:hint="eastAsia"/>
        </w:rPr>
        <w:t>运输气压：</w:t>
      </w:r>
      <w:r>
        <w:rPr>
          <w:rFonts w:ascii="STKaiti" w:eastAsia="Times New Roman" w:hAnsi="STKaiti"/>
        </w:rPr>
        <w:t xml:space="preserve">800hPA </w:t>
      </w:r>
      <w:r>
        <w:rPr>
          <w:rFonts w:ascii="宋体" w:eastAsia="宋体" w:hAnsi="宋体" w:cs="宋体" w:hint="eastAsia"/>
        </w:rPr>
        <w:t>至</w:t>
      </w:r>
      <w:r>
        <w:rPr>
          <w:rFonts w:ascii="STKaiti" w:eastAsia="Times New Roman" w:hAnsi="STKaiti"/>
        </w:rPr>
        <w:t xml:space="preserve"> 1060hPA</w:t>
      </w:r>
    </w:p>
    <w:p w:rsidR="001252A3" w:rsidRPr="00FC234A" w:rsidRDefault="001252A3" w:rsidP="00033E6F">
      <w:pPr>
        <w:pStyle w:val="ListParagraph"/>
        <w:numPr>
          <w:ilvl w:val="0"/>
          <w:numId w:val="1"/>
        </w:numPr>
        <w:spacing w:line="400" w:lineRule="exact"/>
        <w:ind w:firstLineChars="0"/>
        <w:rPr>
          <w:rFonts w:ascii="STKaiti" w:eastAsia="Times New Roman" w:hAnsi="STKaiti"/>
        </w:rPr>
      </w:pPr>
      <w:r w:rsidRPr="00FC234A">
        <w:rPr>
          <w:rFonts w:ascii="宋体" w:eastAsia="宋体" w:hAnsi="宋体" w:cs="宋体" w:hint="eastAsia"/>
        </w:rPr>
        <w:t>供电方式：锂离子电池或</w:t>
      </w:r>
      <w:r>
        <w:rPr>
          <w:rFonts w:ascii="宋体" w:eastAsia="宋体" w:hAnsi="宋体" w:cs="宋体" w:hint="eastAsia"/>
        </w:rPr>
        <w:t>交</w:t>
      </w:r>
      <w:r w:rsidRPr="00FC234A">
        <w:rPr>
          <w:rFonts w:ascii="宋体" w:eastAsia="宋体" w:hAnsi="宋体" w:cs="宋体" w:hint="eastAsia"/>
        </w:rPr>
        <w:t>流电直接供电</w:t>
      </w:r>
    </w:p>
    <w:p w:rsidR="001252A3" w:rsidRDefault="001252A3" w:rsidP="00B56133">
      <w:pPr>
        <w:pStyle w:val="ListParagraph"/>
        <w:numPr>
          <w:ilvl w:val="0"/>
          <w:numId w:val="1"/>
        </w:numPr>
        <w:spacing w:line="400" w:lineRule="exact"/>
        <w:ind w:firstLineChars="0"/>
        <w:rPr>
          <w:rFonts w:ascii="STKaiti" w:eastAsia="Times New Roman" w:hAnsi="STKaiti"/>
        </w:rPr>
      </w:pPr>
      <w:r>
        <w:rPr>
          <w:rFonts w:ascii="宋体" w:eastAsia="宋体" w:hAnsi="宋体" w:cs="宋体" w:hint="eastAsia"/>
          <w:color w:val="000000"/>
          <w:sz w:val="18"/>
          <w:szCs w:val="18"/>
        </w:rPr>
        <w:t>★</w:t>
      </w:r>
      <w:r w:rsidRPr="00FC234A">
        <w:rPr>
          <w:rFonts w:ascii="宋体" w:eastAsia="宋体" w:hAnsi="宋体" w:cs="宋体" w:hint="eastAsia"/>
        </w:rPr>
        <w:t>提供产品在国际医学、科学领域期刊发表的针对中国人群进行的视力筛查临床有效性报告。</w:t>
      </w:r>
      <w:r>
        <w:rPr>
          <w:rFonts w:ascii="宋体" w:eastAsia="宋体" w:hAnsi="宋体" w:cs="宋体" w:hint="eastAsia"/>
        </w:rPr>
        <w:t>（需要临床相关文献证明）</w:t>
      </w:r>
    </w:p>
    <w:p w:rsidR="001252A3" w:rsidRDefault="001252A3" w:rsidP="00033E6F">
      <w:pPr>
        <w:pStyle w:val="ListParagraph"/>
        <w:numPr>
          <w:ilvl w:val="0"/>
          <w:numId w:val="1"/>
        </w:numPr>
        <w:spacing w:line="400" w:lineRule="exact"/>
        <w:ind w:firstLineChars="0"/>
        <w:rPr>
          <w:rFonts w:ascii="STKaiti" w:eastAsia="Times New Roman" w:hAnsi="STKaiti"/>
        </w:rPr>
      </w:pPr>
      <w:r>
        <w:rPr>
          <w:rFonts w:ascii="宋体" w:eastAsia="宋体" w:hAnsi="宋体" w:cs="宋体" w:hint="eastAsia"/>
          <w:color w:val="000000"/>
          <w:sz w:val="18"/>
          <w:szCs w:val="18"/>
        </w:rPr>
        <w:t>★</w:t>
      </w:r>
      <w:r>
        <w:rPr>
          <w:rFonts w:ascii="宋体" w:eastAsia="宋体" w:hAnsi="宋体" w:cs="宋体" w:hint="eastAsia"/>
        </w:rPr>
        <w:t>产品如使用无线电发射信号技术则必须提供由国家工信部无线电管理局颁发的无线电发射设备型号核准证书，避免因无线电发射与其他电子产品之间产生的电信号干扰问题（有工信部门颁发的无线电发射设备核准证书）</w:t>
      </w:r>
    </w:p>
    <w:p w:rsidR="001252A3" w:rsidRDefault="001252A3" w:rsidP="004F4B1F">
      <w:pPr>
        <w:pStyle w:val="ListParagraph"/>
        <w:numPr>
          <w:ilvl w:val="0"/>
          <w:numId w:val="1"/>
        </w:numPr>
        <w:spacing w:line="400" w:lineRule="exact"/>
        <w:ind w:firstLineChars="0"/>
        <w:rPr>
          <w:rFonts w:ascii="STKaiti" w:eastAsia="Times New Roman" w:hAnsi="STKaiti"/>
        </w:rPr>
      </w:pPr>
      <w:r w:rsidRPr="004F4B1F">
        <w:rPr>
          <w:rFonts w:ascii="宋体" w:eastAsia="宋体" w:hAnsi="宋体" w:cs="宋体" w:hint="eastAsia"/>
        </w:rPr>
        <w:t>质量保证：产品需通过</w:t>
      </w:r>
      <w:r w:rsidRPr="004F4B1F">
        <w:rPr>
          <w:rFonts w:ascii="STKaiti" w:eastAsia="Times New Roman" w:hAnsi="STKaiti"/>
        </w:rPr>
        <w:t>SFDA</w:t>
      </w:r>
      <w:r w:rsidRPr="004F4B1F">
        <w:rPr>
          <w:rFonts w:ascii="宋体" w:eastAsia="宋体" w:hAnsi="宋体" w:cs="宋体" w:hint="eastAsia"/>
        </w:rPr>
        <w:t>认证。</w:t>
      </w:r>
    </w:p>
    <w:p w:rsidR="001252A3" w:rsidRPr="004F4B1F" w:rsidRDefault="001252A3" w:rsidP="004F4B1F">
      <w:pPr>
        <w:pStyle w:val="ListParagraph"/>
        <w:numPr>
          <w:ilvl w:val="0"/>
          <w:numId w:val="1"/>
        </w:numPr>
        <w:spacing w:line="400" w:lineRule="exact"/>
        <w:ind w:firstLineChars="0"/>
        <w:rPr>
          <w:rFonts w:ascii="STKaiti" w:eastAsia="Times New Roman" w:hAnsi="STKaiti"/>
        </w:rPr>
      </w:pPr>
      <w:r>
        <w:rPr>
          <w:rFonts w:ascii="宋体" w:eastAsia="宋体" w:hAnsi="宋体" w:cs="宋体" w:hint="eastAsia"/>
          <w:color w:val="000000"/>
          <w:sz w:val="18"/>
          <w:szCs w:val="18"/>
        </w:rPr>
        <w:t>★</w:t>
      </w:r>
      <w:r>
        <w:rPr>
          <w:rFonts w:ascii="宋体" w:eastAsia="宋体" w:hAnsi="宋体" w:cs="宋体" w:hint="eastAsia"/>
        </w:rPr>
        <w:t>产品为医疗设备二类产品，需要有二类产品注册证（不接受一类备案）</w:t>
      </w:r>
    </w:p>
    <w:p w:rsidR="001252A3" w:rsidRPr="004F4B1F" w:rsidRDefault="001252A3" w:rsidP="004F4B1F">
      <w:pPr>
        <w:spacing w:line="400" w:lineRule="exact"/>
        <w:rPr>
          <w:rFonts w:ascii="STKaiti" w:eastAsia="Times New Roman" w:hAnsi="STKaiti"/>
        </w:rPr>
      </w:pPr>
    </w:p>
    <w:sectPr w:rsidR="001252A3" w:rsidRPr="004F4B1F" w:rsidSect="003A0ACC">
      <w:pgSz w:w="11900" w:h="16840"/>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DengXian">
    <w:altName w:val="微软雅黑"/>
    <w:panose1 w:val="00000000000000000000"/>
    <w:charset w:val="86"/>
    <w:family w:val="auto"/>
    <w:notTrueType/>
    <w:pitch w:val="variable"/>
    <w:sig w:usb0="00000001" w:usb1="080E0000" w:usb2="00000010" w:usb3="00000000" w:csb0="00040000" w:csb1="00000000"/>
  </w:font>
  <w:font w:name="STKaiti">
    <w:altName w:val="Times New Roman"/>
    <w:panose1 w:val="00000000000000000000"/>
    <w:charset w:val="00"/>
    <w:family w:val="roman"/>
    <w:notTrueType/>
    <w:pitch w:val="default"/>
    <w:sig w:usb0="00000003" w:usb1="00000000" w:usb2="00000000" w:usb3="00000000" w:csb0="00000001"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500A9"/>
    <w:multiLevelType w:val="hybridMultilevel"/>
    <w:tmpl w:val="E51ACD4C"/>
    <w:lvl w:ilvl="0" w:tplc="0409000F">
      <w:start w:val="1"/>
      <w:numFmt w:val="decimal"/>
      <w:lvlText w:val="%1."/>
      <w:lvlJc w:val="left"/>
      <w:pPr>
        <w:ind w:left="480" w:hanging="480"/>
      </w:pPr>
      <w:rPr>
        <w:rFonts w:cs="Times New Roman"/>
      </w:rPr>
    </w:lvl>
    <w:lvl w:ilvl="1" w:tplc="04090019" w:tentative="1">
      <w:start w:val="1"/>
      <w:numFmt w:val="lowerLetter"/>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lowerLetter"/>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lowerLetter"/>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200"/>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6A60"/>
    <w:rsid w:val="00003732"/>
    <w:rsid w:val="0001706F"/>
    <w:rsid w:val="00031668"/>
    <w:rsid w:val="00033E6F"/>
    <w:rsid w:val="00067530"/>
    <w:rsid w:val="000836D6"/>
    <w:rsid w:val="000A7B8E"/>
    <w:rsid w:val="001252A3"/>
    <w:rsid w:val="001267E1"/>
    <w:rsid w:val="0013692E"/>
    <w:rsid w:val="001C7328"/>
    <w:rsid w:val="00223D01"/>
    <w:rsid w:val="00227B7B"/>
    <w:rsid w:val="00236A21"/>
    <w:rsid w:val="00241C3D"/>
    <w:rsid w:val="0025005F"/>
    <w:rsid w:val="00255449"/>
    <w:rsid w:val="00272BC0"/>
    <w:rsid w:val="00304B91"/>
    <w:rsid w:val="00325B4F"/>
    <w:rsid w:val="003305CB"/>
    <w:rsid w:val="00350781"/>
    <w:rsid w:val="0038745C"/>
    <w:rsid w:val="00392F19"/>
    <w:rsid w:val="00394D33"/>
    <w:rsid w:val="003A0ACC"/>
    <w:rsid w:val="004726D7"/>
    <w:rsid w:val="004D2A20"/>
    <w:rsid w:val="004D47C5"/>
    <w:rsid w:val="004F4B1F"/>
    <w:rsid w:val="005363F6"/>
    <w:rsid w:val="00543854"/>
    <w:rsid w:val="00567F0B"/>
    <w:rsid w:val="005B39F3"/>
    <w:rsid w:val="005C4EB1"/>
    <w:rsid w:val="00606FAC"/>
    <w:rsid w:val="0060754A"/>
    <w:rsid w:val="00617C1F"/>
    <w:rsid w:val="006D1247"/>
    <w:rsid w:val="006E58AD"/>
    <w:rsid w:val="0079504C"/>
    <w:rsid w:val="00816444"/>
    <w:rsid w:val="00885967"/>
    <w:rsid w:val="00890416"/>
    <w:rsid w:val="0089722E"/>
    <w:rsid w:val="008E54DB"/>
    <w:rsid w:val="00917B35"/>
    <w:rsid w:val="00936FA4"/>
    <w:rsid w:val="00987962"/>
    <w:rsid w:val="009B15F6"/>
    <w:rsid w:val="009B6728"/>
    <w:rsid w:val="009D089C"/>
    <w:rsid w:val="009F2EF3"/>
    <w:rsid w:val="009F4B22"/>
    <w:rsid w:val="00A058CA"/>
    <w:rsid w:val="00A106A0"/>
    <w:rsid w:val="00A1639C"/>
    <w:rsid w:val="00A549BB"/>
    <w:rsid w:val="00B02204"/>
    <w:rsid w:val="00B25F24"/>
    <w:rsid w:val="00B3784B"/>
    <w:rsid w:val="00B4052C"/>
    <w:rsid w:val="00B437CC"/>
    <w:rsid w:val="00B56133"/>
    <w:rsid w:val="00B8306B"/>
    <w:rsid w:val="00B86601"/>
    <w:rsid w:val="00BB3164"/>
    <w:rsid w:val="00BB61B2"/>
    <w:rsid w:val="00BD736A"/>
    <w:rsid w:val="00C109C7"/>
    <w:rsid w:val="00C26A60"/>
    <w:rsid w:val="00C76DB1"/>
    <w:rsid w:val="00CE4936"/>
    <w:rsid w:val="00CE5EA5"/>
    <w:rsid w:val="00D25C95"/>
    <w:rsid w:val="00D46E33"/>
    <w:rsid w:val="00D60A38"/>
    <w:rsid w:val="00D654C6"/>
    <w:rsid w:val="00DB4D80"/>
    <w:rsid w:val="00E57C2A"/>
    <w:rsid w:val="00E667B3"/>
    <w:rsid w:val="00E762FC"/>
    <w:rsid w:val="00EC4B22"/>
    <w:rsid w:val="00F52907"/>
    <w:rsid w:val="00FA51F4"/>
    <w:rsid w:val="00FC234A"/>
    <w:rsid w:val="00FC6460"/>
    <w:rsid w:val="00FD231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DengXian" w:eastAsia="DengXian" w:hAnsi="DengXi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C2A"/>
    <w:pPr>
      <w:widowControl w:val="0"/>
      <w:jc w:val="both"/>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C234A"/>
    <w:pPr>
      <w:ind w:firstLineChars="200" w:firstLine="420"/>
    </w:pPr>
  </w:style>
</w:styles>
</file>

<file path=word/webSettings.xml><?xml version="1.0" encoding="utf-8"?>
<w:webSettings xmlns:r="http://schemas.openxmlformats.org/officeDocument/2006/relationships" xmlns:w="http://schemas.openxmlformats.org/wordprocessingml/2006/main">
  <w:divs>
    <w:div w:id="735320596">
      <w:marLeft w:val="0"/>
      <w:marRight w:val="0"/>
      <w:marTop w:val="0"/>
      <w:marBottom w:val="0"/>
      <w:divBdr>
        <w:top w:val="none" w:sz="0" w:space="0" w:color="auto"/>
        <w:left w:val="none" w:sz="0" w:space="0" w:color="auto"/>
        <w:bottom w:val="none" w:sz="0" w:space="0" w:color="auto"/>
        <w:right w:val="none" w:sz="0" w:space="0" w:color="auto"/>
      </w:divBdr>
      <w:divsChild>
        <w:div w:id="735320593">
          <w:marLeft w:val="720"/>
          <w:marRight w:val="720"/>
          <w:marTop w:val="100"/>
          <w:marBottom w:val="100"/>
          <w:divBdr>
            <w:top w:val="none" w:sz="0" w:space="0" w:color="auto"/>
            <w:left w:val="none" w:sz="0" w:space="0" w:color="auto"/>
            <w:bottom w:val="none" w:sz="0" w:space="0" w:color="auto"/>
            <w:right w:val="none" w:sz="0" w:space="0" w:color="auto"/>
          </w:divBdr>
          <w:divsChild>
            <w:div w:id="735320594">
              <w:marLeft w:val="0"/>
              <w:marRight w:val="0"/>
              <w:marTop w:val="0"/>
              <w:marBottom w:val="0"/>
              <w:divBdr>
                <w:top w:val="none" w:sz="0" w:space="0" w:color="auto"/>
                <w:left w:val="none" w:sz="0" w:space="0" w:color="auto"/>
                <w:bottom w:val="none" w:sz="0" w:space="0" w:color="auto"/>
                <w:right w:val="none" w:sz="0" w:space="0" w:color="auto"/>
              </w:divBdr>
              <w:divsChild>
                <w:div w:id="735320597">
                  <w:marLeft w:val="720"/>
                  <w:marRight w:val="720"/>
                  <w:marTop w:val="100"/>
                  <w:marBottom w:val="100"/>
                  <w:divBdr>
                    <w:top w:val="none" w:sz="0" w:space="0" w:color="auto"/>
                    <w:left w:val="none" w:sz="0" w:space="0" w:color="auto"/>
                    <w:bottom w:val="none" w:sz="0" w:space="0" w:color="auto"/>
                    <w:right w:val="none" w:sz="0" w:space="0" w:color="auto"/>
                  </w:divBdr>
                  <w:divsChild>
                    <w:div w:id="735320595">
                      <w:marLeft w:val="0"/>
                      <w:marRight w:val="0"/>
                      <w:marTop w:val="0"/>
                      <w:marBottom w:val="0"/>
                      <w:divBdr>
                        <w:top w:val="none" w:sz="0" w:space="0" w:color="auto"/>
                        <w:left w:val="none" w:sz="0" w:space="0" w:color="auto"/>
                        <w:bottom w:val="none" w:sz="0" w:space="0" w:color="auto"/>
                        <w:right w:val="none" w:sz="0" w:space="0" w:color="auto"/>
                      </w:divBdr>
                      <w:divsChild>
                        <w:div w:id="73532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120</TotalTime>
  <Pages>2</Pages>
  <Words>183</Words>
  <Characters>1045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李想</dc:creator>
  <cp:keywords/>
  <dc:description/>
  <cp:lastModifiedBy>User</cp:lastModifiedBy>
  <cp:revision>39</cp:revision>
  <cp:lastPrinted>2017-05-30T07:04:00Z</cp:lastPrinted>
  <dcterms:created xsi:type="dcterms:W3CDTF">2017-06-05T06:40:00Z</dcterms:created>
  <dcterms:modified xsi:type="dcterms:W3CDTF">2018-10-24T08:12:00Z</dcterms:modified>
</cp:coreProperties>
</file>